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39" w:rsidRPr="00085DFA" w:rsidRDefault="00AE588C" w:rsidP="005D1C88">
      <w:pPr>
        <w:shd w:val="clear" w:color="auto" w:fill="17365D" w:themeFill="text2" w:themeFillShade="BF"/>
        <w:rPr>
          <w:b/>
          <w:bCs/>
          <w:color w:val="FFFFFF"/>
          <w:sz w:val="24"/>
          <w:szCs w:val="24"/>
        </w:rPr>
      </w:pPr>
      <w:r w:rsidRPr="00AE588C">
        <w:rPr>
          <w:b/>
          <w:bCs/>
          <w:color w:val="FFFFFF"/>
          <w:sz w:val="24"/>
          <w:szCs w:val="24"/>
        </w:rPr>
        <w:t>Dafür setzt sich FH SCHWEIZ in der Politik ein</w:t>
      </w:r>
    </w:p>
    <w:p w:rsidR="00085DFA" w:rsidRDefault="00085DFA">
      <w:pPr>
        <w:rPr>
          <w:b/>
          <w:bCs/>
          <w:sz w:val="24"/>
          <w:szCs w:val="24"/>
        </w:rPr>
      </w:pPr>
    </w:p>
    <w:p w:rsidR="00AE588C" w:rsidRPr="00AE588C" w:rsidRDefault="003506D8" w:rsidP="00AE588C">
      <w:pPr>
        <w:shd w:val="clear" w:color="auto" w:fill="FFFFFF"/>
        <w:rPr>
          <w:b/>
          <w:lang w:eastAsia="de-CH"/>
        </w:rPr>
      </w:pPr>
      <w:hyperlink r:id="rId8" w:history="1">
        <w:r w:rsidR="00AE588C" w:rsidRPr="00AE588C">
          <w:rPr>
            <w:b/>
            <w:lang w:eastAsia="de-CH"/>
          </w:rPr>
          <w:t>Berufsmaturität</w:t>
        </w:r>
      </w:hyperlink>
      <w:r w:rsidR="00AE588C" w:rsidRPr="00AE588C">
        <w:rPr>
          <w:b/>
          <w:lang w:eastAsia="de-CH"/>
        </w:rPr>
        <w:t>:</w:t>
      </w:r>
    </w:p>
    <w:p w:rsidR="00AE588C" w:rsidRPr="003A574B" w:rsidRDefault="00AE588C" w:rsidP="00AE588C">
      <w:pPr>
        <w:shd w:val="clear" w:color="auto" w:fill="FFFFFF"/>
        <w:rPr>
          <w:lang w:eastAsia="de-CH"/>
        </w:rPr>
      </w:pPr>
      <w:r w:rsidRPr="003A574B">
        <w:rPr>
          <w:lang w:eastAsia="de-CH"/>
        </w:rPr>
        <w:t xml:space="preserve">Bereits 2014 beschlossen Verbundpartner aus Bildung, Politik und Wirtschaft an einem nationalen Spitzentreffen, dass die Berufsmaturität (BM) gestärkt werden muss. FH SCHWEIZ hat diesen Prozess aktiv mitverfolgt und unterstützt. Mitte 2018 lancierten die Verbundpartner dazu eine breit angelegte </w:t>
      </w:r>
      <w:hyperlink r:id="rId9" w:history="1">
        <w:r w:rsidRPr="003506D8">
          <w:rPr>
            <w:rStyle w:val="Hyperlink"/>
            <w:lang w:eastAsia="de-CH"/>
          </w:rPr>
          <w:t>Informations- und Kommunikationsoffensive</w:t>
        </w:r>
      </w:hyperlink>
      <w:r w:rsidRPr="003A574B">
        <w:rPr>
          <w:lang w:eastAsia="de-CH"/>
        </w:rPr>
        <w:t>. FH SCHWEIZ war an der Erarbeitung der Kampagne, unter anderem durch die Teilnahme in einer Fokusgruppe, beteiligt.</w:t>
      </w:r>
    </w:p>
    <w:p w:rsidR="00AE588C" w:rsidRPr="003A574B" w:rsidRDefault="00AE588C" w:rsidP="00AE588C">
      <w:pPr>
        <w:shd w:val="clear" w:color="auto" w:fill="FFFFFF"/>
        <w:rPr>
          <w:lang w:eastAsia="de-CH"/>
        </w:rPr>
      </w:pPr>
      <w:r w:rsidRPr="003A574B">
        <w:rPr>
          <w:lang w:eastAsia="de-CH"/>
        </w:rPr>
        <w:t> </w:t>
      </w:r>
    </w:p>
    <w:p w:rsidR="00AE588C" w:rsidRPr="00AE588C" w:rsidRDefault="00AE588C" w:rsidP="00AE588C">
      <w:pPr>
        <w:shd w:val="clear" w:color="auto" w:fill="FFFFFF"/>
        <w:rPr>
          <w:b/>
          <w:lang w:eastAsia="de-CH"/>
        </w:rPr>
      </w:pPr>
      <w:r w:rsidRPr="00AE588C">
        <w:rPr>
          <w:b/>
          <w:lang w:eastAsia="de-CH"/>
        </w:rPr>
        <w:t>Hochschullandschaft:</w:t>
      </w:r>
      <w:r w:rsidRPr="003A574B">
        <w:rPr>
          <w:b/>
          <w:lang w:eastAsia="de-CH"/>
        </w:rPr>
        <w:t xml:space="preserve"> </w:t>
      </w:r>
    </w:p>
    <w:p w:rsidR="00AE588C" w:rsidRPr="003A574B" w:rsidRDefault="00AE588C" w:rsidP="00AE588C">
      <w:pPr>
        <w:shd w:val="clear" w:color="auto" w:fill="FFFFFF"/>
        <w:rPr>
          <w:lang w:eastAsia="de-CH"/>
        </w:rPr>
      </w:pPr>
      <w:r w:rsidRPr="003A574B">
        <w:rPr>
          <w:lang w:eastAsia="de-CH"/>
        </w:rPr>
        <w:t>Die Schweizer Hochschullandschaft hat in den letzten 20 Jahren einen starken Wandel durchlebt. FH und PH wurden geschaffen und den Unis gleichgestellt, die Bologna-Reform ist ein weiterer Meilenstein. Ein entspre</w:t>
      </w:r>
      <w:r>
        <w:rPr>
          <w:lang w:eastAsia="de-CH"/>
        </w:rPr>
        <w:t>chend komplexer Prozess war die</w:t>
      </w:r>
      <w:r w:rsidRPr="003A574B">
        <w:rPr>
          <w:lang w:eastAsia="de-CH"/>
        </w:rPr>
        <w:t xml:space="preserve"> Ausgestaltung der gesetzlichen Grundlagen auf politischer Ebene. FH SCHWEIZ hat sich bei Vernehmlassungen, in Gremien sowie direkt mittels Parlamentariern aus Vorstand und Beirat für die Fachhochschulen und deren Absolventen eingebracht und tut dies auch weiterhin. Zuletzt beispielsweise bei der Totalrevision der Verordnung zum </w:t>
      </w:r>
      <w:hyperlink r:id="rId10" w:history="1">
        <w:r w:rsidRPr="003A574B">
          <w:rPr>
            <w:u w:val="single"/>
            <w:lang w:eastAsia="de-CH"/>
          </w:rPr>
          <w:t>HFKG.</w:t>
        </w:r>
      </w:hyperlink>
      <w:bookmarkStart w:id="0" w:name="_GoBack"/>
      <w:bookmarkEnd w:id="0"/>
    </w:p>
    <w:p w:rsidR="00AE588C" w:rsidRPr="003A574B" w:rsidRDefault="00AE588C" w:rsidP="00AE588C">
      <w:pPr>
        <w:shd w:val="clear" w:color="auto" w:fill="FFFFFF"/>
        <w:rPr>
          <w:lang w:eastAsia="de-CH"/>
        </w:rPr>
      </w:pPr>
      <w:r w:rsidRPr="003A574B">
        <w:rPr>
          <w:lang w:eastAsia="de-CH"/>
        </w:rPr>
        <w:t> </w:t>
      </w:r>
    </w:p>
    <w:p w:rsidR="00AE588C" w:rsidRPr="00AE588C" w:rsidRDefault="00AE588C" w:rsidP="00AE588C">
      <w:pPr>
        <w:shd w:val="clear" w:color="auto" w:fill="FFFFFF"/>
        <w:rPr>
          <w:b/>
          <w:lang w:eastAsia="de-CH"/>
        </w:rPr>
      </w:pPr>
      <w:r w:rsidRPr="00AE588C">
        <w:rPr>
          <w:b/>
          <w:lang w:eastAsia="de-CH"/>
        </w:rPr>
        <w:t xml:space="preserve">Studium: </w:t>
      </w:r>
    </w:p>
    <w:p w:rsidR="00AE588C" w:rsidRPr="003A574B" w:rsidRDefault="00AE588C" w:rsidP="00AE588C">
      <w:pPr>
        <w:shd w:val="clear" w:color="auto" w:fill="FFFFFF"/>
        <w:rPr>
          <w:lang w:eastAsia="de-CH"/>
        </w:rPr>
      </w:pPr>
      <w:r w:rsidRPr="003A574B">
        <w:rPr>
          <w:lang w:eastAsia="de-CH"/>
        </w:rPr>
        <w:t>Was das Studium betrifft, setzt sich FH SCHWEIZ unter anderem nach wie vor dafür ein, dass das FH-Profil über alle drei Zyklen sichergestellt wird.</w:t>
      </w:r>
    </w:p>
    <w:p w:rsidR="00AE588C" w:rsidRPr="003A574B" w:rsidRDefault="00AE588C" w:rsidP="00AE588C">
      <w:pPr>
        <w:shd w:val="clear" w:color="auto" w:fill="FFFFFF"/>
        <w:rPr>
          <w:lang w:eastAsia="de-CH"/>
        </w:rPr>
      </w:pPr>
      <w:r w:rsidRPr="003A574B">
        <w:rPr>
          <w:lang w:eastAsia="de-CH"/>
        </w:rPr>
        <w:t> </w:t>
      </w:r>
    </w:p>
    <w:p w:rsidR="00AE588C" w:rsidRPr="00AE588C" w:rsidRDefault="003506D8" w:rsidP="00AE588C">
      <w:pPr>
        <w:shd w:val="clear" w:color="auto" w:fill="FFFFFF"/>
        <w:rPr>
          <w:b/>
          <w:lang w:eastAsia="de-CH"/>
        </w:rPr>
      </w:pPr>
      <w:hyperlink r:id="rId11" w:history="1">
        <w:r w:rsidR="00AE588C" w:rsidRPr="00AE588C">
          <w:rPr>
            <w:b/>
            <w:lang w:eastAsia="de-CH"/>
          </w:rPr>
          <w:t>Titel</w:t>
        </w:r>
      </w:hyperlink>
      <w:r w:rsidR="00AE588C" w:rsidRPr="00AE588C">
        <w:rPr>
          <w:b/>
          <w:lang w:eastAsia="de-CH"/>
        </w:rPr>
        <w:t xml:space="preserve">: </w:t>
      </w:r>
    </w:p>
    <w:p w:rsidR="00AE588C" w:rsidRPr="003A574B" w:rsidRDefault="00AE588C" w:rsidP="00AE588C">
      <w:pPr>
        <w:shd w:val="clear" w:color="auto" w:fill="FFFFFF"/>
        <w:rPr>
          <w:lang w:eastAsia="de-CH"/>
        </w:rPr>
      </w:pPr>
      <w:r w:rsidRPr="003A574B">
        <w:rPr>
          <w:lang w:eastAsia="de-CH"/>
        </w:rPr>
        <w:t xml:space="preserve">In der Lohnstrukturerhebung des Bundes wurden HTL- und HWV-Absolventen bis 2017 den HF zugerechnet, was in der Berechnung </w:t>
      </w:r>
      <w:r>
        <w:rPr>
          <w:lang w:eastAsia="de-CH"/>
        </w:rPr>
        <w:t>zur Verfälschungen</w:t>
      </w:r>
      <w:r w:rsidRPr="003A574B">
        <w:rPr>
          <w:lang w:eastAsia="de-CH"/>
        </w:rPr>
        <w:t xml:space="preserve"> führte. FH SCHWEIZ hat erreicht, dass der Bund die entsprechenden Titel seit 2018 den FH zuordnet. Allgemein engagiert sich FH SCHWEIZ überall, wo es um Titelschutz im Bereich Berufsbildung und Fachhochschulen geht. Ein weiteres Beispiel ist der </w:t>
      </w:r>
      <w:hyperlink r:id="rId12" w:history="1">
        <w:r w:rsidRPr="00AE588C">
          <w:rPr>
            <w:rStyle w:val="Hyperlink"/>
            <w:lang w:eastAsia="de-CH"/>
          </w:rPr>
          <w:t>Nationale Qualifikationsrahmen für Berufsbildung (NQR BB),</w:t>
        </w:r>
      </w:hyperlink>
      <w:r w:rsidRPr="003A574B">
        <w:rPr>
          <w:lang w:eastAsia="de-CH"/>
        </w:rPr>
        <w:t xml:space="preserve"> zu dem FH SCHWEIZ eine Broschüre herausgegeben hat.</w:t>
      </w:r>
      <w:r>
        <w:rPr>
          <w:lang w:eastAsia="de-CH"/>
        </w:rPr>
        <w:t xml:space="preserve"> Mehr Infos unter: </w:t>
      </w:r>
      <w:hyperlink r:id="rId13" w:history="1">
        <w:r w:rsidRPr="00176949">
          <w:rPr>
            <w:rStyle w:val="Hyperlink"/>
            <w:lang w:eastAsia="de-CH"/>
          </w:rPr>
          <w:t>https://www.fhschweiz.ch/htlhwv-in-der-lohnstrukturerhebung-lse</w:t>
        </w:r>
      </w:hyperlink>
      <w:r>
        <w:rPr>
          <w:lang w:eastAsia="de-CH"/>
        </w:rPr>
        <w:t xml:space="preserve">. </w:t>
      </w:r>
    </w:p>
    <w:p w:rsidR="00AE588C" w:rsidRPr="003A574B" w:rsidRDefault="00AE588C" w:rsidP="00AE588C">
      <w:pPr>
        <w:shd w:val="clear" w:color="auto" w:fill="FFFFFF"/>
        <w:rPr>
          <w:lang w:eastAsia="de-CH"/>
        </w:rPr>
      </w:pPr>
      <w:r w:rsidRPr="003A574B">
        <w:rPr>
          <w:lang w:eastAsia="de-CH"/>
        </w:rPr>
        <w:t> </w:t>
      </w:r>
    </w:p>
    <w:p w:rsidR="00AE588C" w:rsidRPr="00AE588C" w:rsidRDefault="00AE588C" w:rsidP="00AE588C">
      <w:pPr>
        <w:shd w:val="clear" w:color="auto" w:fill="FFFFFF"/>
        <w:rPr>
          <w:b/>
          <w:lang w:eastAsia="de-CH"/>
        </w:rPr>
      </w:pPr>
      <w:r w:rsidRPr="00AE588C">
        <w:rPr>
          <w:b/>
          <w:lang w:eastAsia="de-CH"/>
        </w:rPr>
        <w:t>Forschung:</w:t>
      </w:r>
      <w:r w:rsidRPr="003A574B">
        <w:rPr>
          <w:b/>
          <w:lang w:eastAsia="de-CH"/>
        </w:rPr>
        <w:t xml:space="preserve"> </w:t>
      </w:r>
    </w:p>
    <w:p w:rsidR="00AE588C" w:rsidRPr="003A574B" w:rsidRDefault="00AE588C" w:rsidP="00AE588C">
      <w:pPr>
        <w:shd w:val="clear" w:color="auto" w:fill="FFFFFF"/>
        <w:rPr>
          <w:lang w:eastAsia="de-CH"/>
        </w:rPr>
      </w:pPr>
      <w:r w:rsidRPr="003A574B">
        <w:rPr>
          <w:lang w:eastAsia="de-CH"/>
        </w:rPr>
        <w:t xml:space="preserve">Die Annahme der Masseneinwanderungsinitiative und damit verbunden die Nicht-Ratifizierung des Kroatien-Protokolls hatten zur Folge, dass die Schweiz am EU-Forschungsprogramm </w:t>
      </w:r>
      <w:proofErr w:type="spellStart"/>
      <w:r w:rsidRPr="003A574B">
        <w:rPr>
          <w:lang w:eastAsia="de-CH"/>
        </w:rPr>
        <w:t>Horizon</w:t>
      </w:r>
      <w:proofErr w:type="spellEnd"/>
      <w:r w:rsidRPr="003A574B">
        <w:rPr>
          <w:lang w:eastAsia="de-CH"/>
        </w:rPr>
        <w:t xml:space="preserve"> 2020 bis Ende 2016 nur teilassoziiert war. Dieser gravierende Nachteil für den Forschungsplatz Schweiz betraf natürlich auch Fachhochschulen. FH-SCHWEIZ-Präsident Christian Wasserfallen hat sich im Parlament dafür eingesetzt, dass die Kroatien-Frage möglichst rasch gelöst werden kann und die Schweizer Hochschulen damit vermehrt an wichtige Forschungsgelder kommen.</w:t>
      </w:r>
    </w:p>
    <w:p w:rsidR="00AE588C" w:rsidRPr="003A574B" w:rsidRDefault="00AE588C" w:rsidP="00AE588C">
      <w:pPr>
        <w:shd w:val="clear" w:color="auto" w:fill="FFFFFF"/>
        <w:rPr>
          <w:lang w:eastAsia="de-CH"/>
        </w:rPr>
      </w:pPr>
      <w:r w:rsidRPr="003A574B">
        <w:rPr>
          <w:lang w:eastAsia="de-CH"/>
        </w:rPr>
        <w:t> </w:t>
      </w:r>
    </w:p>
    <w:p w:rsidR="00AE588C" w:rsidRPr="00AE588C" w:rsidRDefault="003506D8" w:rsidP="00AE588C">
      <w:pPr>
        <w:shd w:val="clear" w:color="auto" w:fill="FFFFFF"/>
        <w:rPr>
          <w:b/>
          <w:lang w:eastAsia="de-CH"/>
        </w:rPr>
      </w:pPr>
      <w:hyperlink r:id="rId14" w:history="1">
        <w:r w:rsidR="00AE588C" w:rsidRPr="00AE588C">
          <w:rPr>
            <w:b/>
            <w:lang w:eastAsia="de-CH"/>
          </w:rPr>
          <w:t>FH-Profil:</w:t>
        </w:r>
        <w:r w:rsidR="00AE588C" w:rsidRPr="003A574B">
          <w:rPr>
            <w:b/>
            <w:lang w:eastAsia="de-CH"/>
          </w:rPr>
          <w:t xml:space="preserve"> </w:t>
        </w:r>
      </w:hyperlink>
    </w:p>
    <w:p w:rsidR="00AE588C" w:rsidRPr="003A574B" w:rsidRDefault="00AE588C" w:rsidP="00AE588C">
      <w:pPr>
        <w:shd w:val="clear" w:color="auto" w:fill="FFFFFF"/>
        <w:rPr>
          <w:lang w:eastAsia="de-CH"/>
        </w:rPr>
      </w:pPr>
      <w:r w:rsidRPr="003A574B">
        <w:rPr>
          <w:lang w:eastAsia="de-CH"/>
        </w:rPr>
        <w:t xml:space="preserve">Mit dem soeben überarbeiteten </w:t>
      </w:r>
      <w:hyperlink r:id="rId15" w:history="1">
        <w:r w:rsidRPr="00AE588C">
          <w:rPr>
            <w:rStyle w:val="Hyperlink"/>
            <w:lang w:eastAsia="de-CH"/>
          </w:rPr>
          <w:t>FH-Profil</w:t>
        </w:r>
      </w:hyperlink>
      <w:r w:rsidRPr="003A574B">
        <w:rPr>
          <w:lang w:eastAsia="de-CH"/>
        </w:rPr>
        <w:t xml:space="preserve"> bietet FH SCHWEIZ ein handliches und wichtiges Instrument zur Orientierung innerhalb der Bildungslandschaft.</w:t>
      </w:r>
      <w:r>
        <w:rPr>
          <w:lang w:eastAsia="de-CH"/>
        </w:rPr>
        <w:t xml:space="preserve"> Mehr Infos unter: </w:t>
      </w:r>
      <w:hyperlink r:id="rId16" w:history="1">
        <w:r w:rsidRPr="00176949">
          <w:rPr>
            <w:rStyle w:val="Hyperlink"/>
            <w:lang w:eastAsia="de-CH"/>
          </w:rPr>
          <w:t>https://www.fhschweiz.ch/fh-profil/</w:t>
        </w:r>
      </w:hyperlink>
      <w:r>
        <w:rPr>
          <w:lang w:eastAsia="de-CH"/>
        </w:rPr>
        <w:t xml:space="preserve">. </w:t>
      </w:r>
    </w:p>
    <w:p w:rsidR="00AE588C" w:rsidRPr="003A574B" w:rsidRDefault="00AE588C" w:rsidP="00AE588C">
      <w:pPr>
        <w:shd w:val="clear" w:color="auto" w:fill="FFFFFF"/>
        <w:rPr>
          <w:lang w:eastAsia="de-CH"/>
        </w:rPr>
      </w:pPr>
      <w:r w:rsidRPr="003A574B">
        <w:rPr>
          <w:lang w:eastAsia="de-CH"/>
        </w:rPr>
        <w:t> </w:t>
      </w:r>
    </w:p>
    <w:p w:rsidR="00AE588C" w:rsidRPr="003A574B" w:rsidRDefault="00AE588C" w:rsidP="00AE588C">
      <w:pPr>
        <w:shd w:val="clear" w:color="auto" w:fill="FFFFFF"/>
        <w:rPr>
          <w:lang w:eastAsia="de-CH"/>
        </w:rPr>
      </w:pPr>
      <w:r w:rsidRPr="003A574B">
        <w:rPr>
          <w:lang w:eastAsia="de-CH"/>
        </w:rPr>
        <w:t xml:space="preserve">Weitere bildungspolitische Inhalte von FH SCHWEIZ findest du </w:t>
      </w:r>
      <w:hyperlink r:id="rId17" w:tooltip="FH SCHWEIZ, Bildung und Politik" w:history="1">
        <w:r w:rsidRPr="003A574B">
          <w:rPr>
            <w:u w:val="single"/>
            <w:lang w:eastAsia="de-CH"/>
          </w:rPr>
          <w:t>hier</w:t>
        </w:r>
      </w:hyperlink>
      <w:r w:rsidRPr="003A574B">
        <w:rPr>
          <w:lang w:eastAsia="de-CH"/>
        </w:rPr>
        <w:t>.</w:t>
      </w:r>
    </w:p>
    <w:p w:rsidR="00AE588C" w:rsidRPr="00AE588C" w:rsidRDefault="00AE588C" w:rsidP="00AE588C"/>
    <w:p w:rsidR="00386E55" w:rsidRPr="00AE588C" w:rsidRDefault="00386E55">
      <w:pPr>
        <w:rPr>
          <w:b/>
          <w:bCs/>
          <w:sz w:val="24"/>
          <w:szCs w:val="24"/>
        </w:rPr>
      </w:pPr>
    </w:p>
    <w:sectPr w:rsidR="00386E55" w:rsidRPr="00AE588C">
      <w:headerReference w:type="even" r:id="rId18"/>
      <w:headerReference w:type="default" r:id="rId19"/>
      <w:footerReference w:type="even" r:id="rId20"/>
      <w:footerReference w:type="default" r:id="rId21"/>
      <w:headerReference w:type="first" r:id="rId22"/>
      <w:footerReference w:type="first" r:id="rId23"/>
      <w:pgSz w:w="11906" w:h="16838" w:code="9"/>
      <w:pgMar w:top="794" w:right="991" w:bottom="851" w:left="1616" w:header="720"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8C" w:rsidRDefault="00AE588C">
      <w:r>
        <w:separator/>
      </w:r>
    </w:p>
  </w:endnote>
  <w:endnote w:type="continuationSeparator" w:id="0">
    <w:p w:rsidR="00AE588C" w:rsidRDefault="00AE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B1" w:rsidRDefault="001E6C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8C" w:rsidRDefault="00AE588C">
    <w:pPr>
      <w:pStyle w:val="Fuzeile"/>
      <w:rPr>
        <w:i/>
        <w:iCs/>
        <w:sz w:val="12"/>
        <w:lang w:val="de-CH"/>
      </w:rPr>
    </w:pPr>
    <w:r>
      <w:rPr>
        <w:rStyle w:val="Seitenzahl"/>
        <w:sz w:val="12"/>
        <w:lang w:val="de-CH"/>
      </w:rPr>
      <w:tab/>
    </w:r>
    <w:r>
      <w:rPr>
        <w:rStyle w:val="Seitenzahl"/>
        <w:sz w:val="12"/>
      </w:rPr>
      <w:fldChar w:fldCharType="begin"/>
    </w:r>
    <w:r>
      <w:rPr>
        <w:rStyle w:val="Seitenzahl"/>
        <w:sz w:val="12"/>
      </w:rPr>
      <w:instrText xml:space="preserve"> DATE \@ "dd.MM.yy" </w:instrText>
    </w:r>
    <w:r>
      <w:rPr>
        <w:rStyle w:val="Seitenzahl"/>
        <w:sz w:val="12"/>
      </w:rPr>
      <w:fldChar w:fldCharType="separate"/>
    </w:r>
    <w:r w:rsidR="003506D8">
      <w:rPr>
        <w:rStyle w:val="Seitenzahl"/>
        <w:noProof/>
        <w:sz w:val="12"/>
      </w:rPr>
      <w:t>13.12.18</w:t>
    </w:r>
    <w:r>
      <w:rPr>
        <w:rStyle w:val="Seitenzahl"/>
        <w:sz w:val="12"/>
      </w:rPr>
      <w:fldChar w:fldCharType="end"/>
    </w:r>
  </w:p>
  <w:p w:rsidR="00AE588C" w:rsidRDefault="00AE588C">
    <w:pPr>
      <w:pStyle w:val="Fuzeile"/>
      <w:jc w:val="center"/>
      <w:rPr>
        <w:i/>
        <w:iCs/>
        <w:sz w:val="16"/>
        <w:lang w:val="de-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B1" w:rsidRDefault="001E6C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8C" w:rsidRDefault="00AE588C">
      <w:r>
        <w:separator/>
      </w:r>
    </w:p>
  </w:footnote>
  <w:footnote w:type="continuationSeparator" w:id="0">
    <w:p w:rsidR="00AE588C" w:rsidRDefault="00AE5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B1" w:rsidRDefault="001E6C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0" w:type="dxa"/>
      <w:tblInd w:w="-318" w:type="dxa"/>
      <w:tblLayout w:type="fixed"/>
      <w:tblLook w:val="01E0" w:firstRow="1" w:lastRow="1" w:firstColumn="1" w:lastColumn="1" w:noHBand="0" w:noVBand="0"/>
    </w:tblPr>
    <w:tblGrid>
      <w:gridCol w:w="9924"/>
      <w:gridCol w:w="236"/>
    </w:tblGrid>
    <w:tr w:rsidR="00AE588C" w:rsidTr="002A669E">
      <w:tc>
        <w:tcPr>
          <w:tcW w:w="9924" w:type="dxa"/>
          <w:shd w:val="clear" w:color="auto" w:fill="auto"/>
        </w:tcPr>
        <w:tbl>
          <w:tblPr>
            <w:tblW w:w="10427" w:type="dxa"/>
            <w:tblLayout w:type="fixed"/>
            <w:tblLook w:val="01E0" w:firstRow="1" w:lastRow="1" w:firstColumn="1" w:lastColumn="1" w:noHBand="0" w:noVBand="0"/>
          </w:tblPr>
          <w:tblGrid>
            <w:gridCol w:w="10191"/>
            <w:gridCol w:w="236"/>
          </w:tblGrid>
          <w:tr w:rsidR="00AE588C" w:rsidTr="002A669E">
            <w:tc>
              <w:tcPr>
                <w:tcW w:w="10205" w:type="dxa"/>
                <w:shd w:val="clear" w:color="auto" w:fill="auto"/>
              </w:tcPr>
              <w:tbl>
                <w:tblPr>
                  <w:tblStyle w:val="Tabellen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3"/>
                  <w:gridCol w:w="3436"/>
                  <w:gridCol w:w="3360"/>
                </w:tblGrid>
                <w:tr w:rsidR="00AE588C" w:rsidTr="002A669E">
                  <w:tc>
                    <w:tcPr>
                      <w:tcW w:w="3193" w:type="dxa"/>
                    </w:tcPr>
                    <w:p w:rsidR="00AE588C" w:rsidRPr="00260C1D" w:rsidRDefault="00AE588C" w:rsidP="00AE588C">
                      <w:pPr>
                        <w:pStyle w:val="Kopfzeile"/>
                        <w:ind w:hanging="392"/>
                        <w:rPr>
                          <w:sz w:val="4"/>
                          <w:szCs w:val="4"/>
                        </w:rPr>
                      </w:pPr>
                    </w:p>
                    <w:p w:rsidR="00AE588C" w:rsidRDefault="00AE588C" w:rsidP="00AE588C">
                      <w:pPr>
                        <w:pStyle w:val="Kopfzeile"/>
                        <w:ind w:left="-250" w:firstLine="250"/>
                      </w:pPr>
                      <w:r>
                        <w:rPr>
                          <w:noProof/>
                          <w:lang w:val="de-CH" w:eastAsia="de-CH"/>
                        </w:rPr>
                        <w:drawing>
                          <wp:inline distT="0" distB="0" distL="0" distR="0" wp14:anchorId="6379DA5A" wp14:editId="54BA9AF7">
                            <wp:extent cx="1758950" cy="361950"/>
                            <wp:effectExtent l="0" t="0" r="0" b="0"/>
                            <wp:docPr id="6" name="Bild 1" descr="300_FH_Schweiz_157pi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_FH_Schweiz_157pix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361950"/>
                                    </a:xfrm>
                                    <a:prstGeom prst="rect">
                                      <a:avLst/>
                                    </a:prstGeom>
                                    <a:noFill/>
                                    <a:ln>
                                      <a:noFill/>
                                    </a:ln>
                                  </pic:spPr>
                                </pic:pic>
                              </a:graphicData>
                            </a:graphic>
                          </wp:inline>
                        </w:drawing>
                      </w:r>
                    </w:p>
                  </w:tc>
                  <w:tc>
                    <w:tcPr>
                      <w:tcW w:w="3436" w:type="dxa"/>
                    </w:tcPr>
                    <w:p w:rsidR="00AE588C" w:rsidRDefault="00AE588C" w:rsidP="00AE588C">
                      <w:pPr>
                        <w:pStyle w:val="Kopfzeile"/>
                        <w:jc w:val="center"/>
                      </w:pPr>
                      <w:r>
                        <w:rPr>
                          <w:noProof/>
                          <w:lang w:eastAsia="de-CH"/>
                        </w:rPr>
                        <w:t xml:space="preserve">      </w:t>
                      </w:r>
                      <w:r>
                        <w:rPr>
                          <w:noProof/>
                          <w:lang w:val="de-CH" w:eastAsia="de-CH"/>
                        </w:rPr>
                        <w:drawing>
                          <wp:inline distT="0" distB="0" distL="0" distR="0" wp14:anchorId="15D7E1A1" wp14:editId="15F7A68C">
                            <wp:extent cx="1778000" cy="400050"/>
                            <wp:effectExtent l="0" t="0" r="0" b="0"/>
                            <wp:docPr id="11" name="Bild 2" descr="300rgb_f_FH_SUISSE_ma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rgb_f_FH_SUISSE_mar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00050"/>
                                    </a:xfrm>
                                    <a:prstGeom prst="rect">
                                      <a:avLst/>
                                    </a:prstGeom>
                                    <a:noFill/>
                                    <a:ln>
                                      <a:noFill/>
                                    </a:ln>
                                  </pic:spPr>
                                </pic:pic>
                              </a:graphicData>
                            </a:graphic>
                          </wp:inline>
                        </w:drawing>
                      </w:r>
                      <w:r>
                        <w:t xml:space="preserve">    </w:t>
                      </w:r>
                    </w:p>
                  </w:tc>
                  <w:tc>
                    <w:tcPr>
                      <w:tcW w:w="3360" w:type="dxa"/>
                    </w:tcPr>
                    <w:p w:rsidR="00AE588C" w:rsidRDefault="00AE588C" w:rsidP="002A669E">
                      <w:pPr>
                        <w:pStyle w:val="Kopfzeile"/>
                        <w:ind w:right="-325"/>
                      </w:pPr>
                      <w:r>
                        <w:rPr>
                          <w:noProof/>
                          <w:lang w:val="de-CH" w:eastAsia="de-CH"/>
                        </w:rPr>
                        <w:drawing>
                          <wp:inline distT="0" distB="0" distL="0" distR="0" wp14:anchorId="58BD0028" wp14:editId="65BBDA51">
                            <wp:extent cx="1656875" cy="400050"/>
                            <wp:effectExtent l="0" t="0" r="635" b="0"/>
                            <wp:docPr id="10" name="Grafik 10" descr="cid:7F89DD57-507E-4329-8730-2C9D487E86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6C7FC-1AF1-4737-BD06-59546AACC2C1" descr="cid:7F89DD57-507E-4329-8730-2C9D487E86A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69019" cy="402982"/>
                                    </a:xfrm>
                                    <a:prstGeom prst="rect">
                                      <a:avLst/>
                                    </a:prstGeom>
                                    <a:noFill/>
                                    <a:ln>
                                      <a:noFill/>
                                    </a:ln>
                                  </pic:spPr>
                                </pic:pic>
                              </a:graphicData>
                            </a:graphic>
                          </wp:inline>
                        </w:drawing>
                      </w:r>
                      <w:r>
                        <w:t xml:space="preserve">   </w:t>
                      </w:r>
                    </w:p>
                  </w:tc>
                </w:tr>
              </w:tbl>
              <w:p w:rsidR="00AE588C" w:rsidRDefault="00AE588C" w:rsidP="00AE588C">
                <w:pPr>
                  <w:pStyle w:val="Kopfzeile"/>
                </w:pPr>
              </w:p>
            </w:tc>
            <w:tc>
              <w:tcPr>
                <w:tcW w:w="222" w:type="dxa"/>
                <w:shd w:val="clear" w:color="auto" w:fill="auto"/>
              </w:tcPr>
              <w:p w:rsidR="00AE588C" w:rsidRDefault="00AE588C" w:rsidP="00AE588C">
                <w:pPr>
                  <w:pStyle w:val="Kopfzeile"/>
                  <w:ind w:right="-392"/>
                  <w:jc w:val="right"/>
                </w:pPr>
              </w:p>
            </w:tc>
          </w:tr>
        </w:tbl>
        <w:p w:rsidR="00AE588C" w:rsidRDefault="00AE588C" w:rsidP="002A669E">
          <w:pPr>
            <w:pStyle w:val="Kopfzeile"/>
            <w:ind w:right="-709" w:hanging="426"/>
          </w:pPr>
        </w:p>
      </w:tc>
      <w:tc>
        <w:tcPr>
          <w:tcW w:w="236" w:type="dxa"/>
          <w:shd w:val="clear" w:color="auto" w:fill="auto"/>
        </w:tcPr>
        <w:p w:rsidR="00AE588C" w:rsidRDefault="00AE588C" w:rsidP="004F1559">
          <w:pPr>
            <w:pStyle w:val="Kopfzeile"/>
            <w:jc w:val="right"/>
          </w:pPr>
        </w:p>
      </w:tc>
    </w:tr>
  </w:tbl>
  <w:p w:rsidR="00AE588C" w:rsidRDefault="00AE588C">
    <w:pPr>
      <w:pStyle w:val="Kopfzeile"/>
      <w:ind w:hanging="70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B1" w:rsidRDefault="001E6C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F27"/>
    <w:multiLevelType w:val="hybridMultilevel"/>
    <w:tmpl w:val="C68C73FE"/>
    <w:lvl w:ilvl="0" w:tplc="0407000F">
      <w:start w:val="1"/>
      <w:numFmt w:val="decimal"/>
      <w:lvlText w:val="%1."/>
      <w:lvlJc w:val="left"/>
      <w:pPr>
        <w:tabs>
          <w:tab w:val="num" w:pos="720"/>
        </w:tabs>
        <w:ind w:left="720" w:hanging="360"/>
      </w:pPr>
      <w:rPr>
        <w:rFonts w:hint="default"/>
      </w:rPr>
    </w:lvl>
    <w:lvl w:ilvl="1" w:tplc="4F06F7C8">
      <w:numFmt w:val="bullet"/>
      <w:lvlText w:val="-"/>
      <w:lvlJc w:val="left"/>
      <w:pPr>
        <w:tabs>
          <w:tab w:val="num" w:pos="1353"/>
        </w:tabs>
        <w:ind w:left="1353"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D3A7960"/>
    <w:multiLevelType w:val="hybridMultilevel"/>
    <w:tmpl w:val="48CC34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3C32A8E"/>
    <w:multiLevelType w:val="hybridMultilevel"/>
    <w:tmpl w:val="A68A66F0"/>
    <w:lvl w:ilvl="0" w:tplc="0407000F">
      <w:start w:val="1"/>
      <w:numFmt w:val="decimal"/>
      <w:lvlText w:val="%1."/>
      <w:lvlJc w:val="left"/>
      <w:pPr>
        <w:tabs>
          <w:tab w:val="num" w:pos="720"/>
        </w:tabs>
        <w:ind w:left="720" w:hanging="360"/>
      </w:pPr>
      <w:rPr>
        <w:rFonts w:hint="default"/>
      </w:rPr>
    </w:lvl>
    <w:lvl w:ilvl="1" w:tplc="5CE0538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D7E7262"/>
    <w:multiLevelType w:val="hybridMultilevel"/>
    <w:tmpl w:val="C6AE7706"/>
    <w:lvl w:ilvl="0" w:tplc="576E9648">
      <w:start w:val="16"/>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7416CB9"/>
    <w:multiLevelType w:val="hybridMultilevel"/>
    <w:tmpl w:val="C548E142"/>
    <w:lvl w:ilvl="0" w:tplc="94D896A8">
      <w:start w:val="7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762D7BC8"/>
    <w:multiLevelType w:val="hybridMultilevel"/>
    <w:tmpl w:val="C736093C"/>
    <w:lvl w:ilvl="0" w:tplc="216ECF1A">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E8341E7"/>
    <w:multiLevelType w:val="hybridMultilevel"/>
    <w:tmpl w:val="86C819C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7FE428F0"/>
    <w:multiLevelType w:val="hybridMultilevel"/>
    <w:tmpl w:val="F906143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93"/>
    <w:rsid w:val="00004614"/>
    <w:rsid w:val="0001046D"/>
    <w:rsid w:val="00011FE7"/>
    <w:rsid w:val="000143FD"/>
    <w:rsid w:val="00017BF3"/>
    <w:rsid w:val="00024B43"/>
    <w:rsid w:val="0002665B"/>
    <w:rsid w:val="00026973"/>
    <w:rsid w:val="0003738D"/>
    <w:rsid w:val="00041B5F"/>
    <w:rsid w:val="000452F7"/>
    <w:rsid w:val="00063BC6"/>
    <w:rsid w:val="00064B14"/>
    <w:rsid w:val="00074935"/>
    <w:rsid w:val="00083E02"/>
    <w:rsid w:val="00085DFA"/>
    <w:rsid w:val="00092100"/>
    <w:rsid w:val="00095481"/>
    <w:rsid w:val="000A2DB3"/>
    <w:rsid w:val="000A5F27"/>
    <w:rsid w:val="000B51E5"/>
    <w:rsid w:val="000B5CF6"/>
    <w:rsid w:val="000C35CF"/>
    <w:rsid w:val="000C5511"/>
    <w:rsid w:val="000C5FCC"/>
    <w:rsid w:val="000D1870"/>
    <w:rsid w:val="000E0DEA"/>
    <w:rsid w:val="000E31DD"/>
    <w:rsid w:val="000E5363"/>
    <w:rsid w:val="000F12B0"/>
    <w:rsid w:val="000F1F24"/>
    <w:rsid w:val="000F2762"/>
    <w:rsid w:val="000F7593"/>
    <w:rsid w:val="0010040F"/>
    <w:rsid w:val="0010707A"/>
    <w:rsid w:val="0011099A"/>
    <w:rsid w:val="00111315"/>
    <w:rsid w:val="00113A7F"/>
    <w:rsid w:val="00113F93"/>
    <w:rsid w:val="00115E2D"/>
    <w:rsid w:val="00135AE2"/>
    <w:rsid w:val="00137EC8"/>
    <w:rsid w:val="001507B2"/>
    <w:rsid w:val="00152916"/>
    <w:rsid w:val="001674A9"/>
    <w:rsid w:val="0017708F"/>
    <w:rsid w:val="0019767F"/>
    <w:rsid w:val="001A117D"/>
    <w:rsid w:val="001A46D5"/>
    <w:rsid w:val="001A478B"/>
    <w:rsid w:val="001B27FD"/>
    <w:rsid w:val="001B427A"/>
    <w:rsid w:val="001B7D12"/>
    <w:rsid w:val="001C44DD"/>
    <w:rsid w:val="001C7988"/>
    <w:rsid w:val="001E0105"/>
    <w:rsid w:val="001E128C"/>
    <w:rsid w:val="001E5FB3"/>
    <w:rsid w:val="001E6CB1"/>
    <w:rsid w:val="001F3772"/>
    <w:rsid w:val="001F56E5"/>
    <w:rsid w:val="00206A2B"/>
    <w:rsid w:val="002116A5"/>
    <w:rsid w:val="0021555C"/>
    <w:rsid w:val="00215B3D"/>
    <w:rsid w:val="002249C2"/>
    <w:rsid w:val="00231DEA"/>
    <w:rsid w:val="00232F62"/>
    <w:rsid w:val="00235DC4"/>
    <w:rsid w:val="00251317"/>
    <w:rsid w:val="00276FDD"/>
    <w:rsid w:val="00280C4F"/>
    <w:rsid w:val="00290783"/>
    <w:rsid w:val="00291846"/>
    <w:rsid w:val="00297A64"/>
    <w:rsid w:val="002A669E"/>
    <w:rsid w:val="002B0136"/>
    <w:rsid w:val="002B7283"/>
    <w:rsid w:val="002C01E2"/>
    <w:rsid w:val="002C406A"/>
    <w:rsid w:val="002C6A85"/>
    <w:rsid w:val="002D2E37"/>
    <w:rsid w:val="002D4E79"/>
    <w:rsid w:val="002E05BA"/>
    <w:rsid w:val="002E0FBB"/>
    <w:rsid w:val="002E16D7"/>
    <w:rsid w:val="002E2CF1"/>
    <w:rsid w:val="002E3DF5"/>
    <w:rsid w:val="002F3FAA"/>
    <w:rsid w:val="002F423F"/>
    <w:rsid w:val="002F4791"/>
    <w:rsid w:val="002F6013"/>
    <w:rsid w:val="00303E7B"/>
    <w:rsid w:val="003051E3"/>
    <w:rsid w:val="00313BEE"/>
    <w:rsid w:val="00314310"/>
    <w:rsid w:val="00323AA5"/>
    <w:rsid w:val="0032734C"/>
    <w:rsid w:val="00332B77"/>
    <w:rsid w:val="003353F1"/>
    <w:rsid w:val="00340748"/>
    <w:rsid w:val="0034396D"/>
    <w:rsid w:val="0034571C"/>
    <w:rsid w:val="003479A1"/>
    <w:rsid w:val="003506D8"/>
    <w:rsid w:val="00354663"/>
    <w:rsid w:val="003562D1"/>
    <w:rsid w:val="00374ADA"/>
    <w:rsid w:val="00382245"/>
    <w:rsid w:val="00386B6B"/>
    <w:rsid w:val="00386E55"/>
    <w:rsid w:val="00395546"/>
    <w:rsid w:val="00396863"/>
    <w:rsid w:val="003A13F1"/>
    <w:rsid w:val="003B73D8"/>
    <w:rsid w:val="003C0ABD"/>
    <w:rsid w:val="003C7086"/>
    <w:rsid w:val="003D2D6E"/>
    <w:rsid w:val="003D50C0"/>
    <w:rsid w:val="003D668A"/>
    <w:rsid w:val="003E2ADF"/>
    <w:rsid w:val="003E53D3"/>
    <w:rsid w:val="003F23DD"/>
    <w:rsid w:val="003F5175"/>
    <w:rsid w:val="0040550B"/>
    <w:rsid w:val="00410BC8"/>
    <w:rsid w:val="00424768"/>
    <w:rsid w:val="0042507F"/>
    <w:rsid w:val="004322B6"/>
    <w:rsid w:val="00432372"/>
    <w:rsid w:val="0043523E"/>
    <w:rsid w:val="00436118"/>
    <w:rsid w:val="00436B96"/>
    <w:rsid w:val="00453F43"/>
    <w:rsid w:val="00455A7D"/>
    <w:rsid w:val="00455BA5"/>
    <w:rsid w:val="00456033"/>
    <w:rsid w:val="00460A56"/>
    <w:rsid w:val="00462D65"/>
    <w:rsid w:val="00473D02"/>
    <w:rsid w:val="00476786"/>
    <w:rsid w:val="004775D1"/>
    <w:rsid w:val="0048188E"/>
    <w:rsid w:val="00481E78"/>
    <w:rsid w:val="00484C7D"/>
    <w:rsid w:val="00491668"/>
    <w:rsid w:val="004962FE"/>
    <w:rsid w:val="0049786C"/>
    <w:rsid w:val="004B0C30"/>
    <w:rsid w:val="004B5BD4"/>
    <w:rsid w:val="004C11C2"/>
    <w:rsid w:val="004C1641"/>
    <w:rsid w:val="004D14CA"/>
    <w:rsid w:val="004E335A"/>
    <w:rsid w:val="004F1559"/>
    <w:rsid w:val="004F4552"/>
    <w:rsid w:val="004F5BC4"/>
    <w:rsid w:val="00500F28"/>
    <w:rsid w:val="005055F3"/>
    <w:rsid w:val="00506798"/>
    <w:rsid w:val="00511840"/>
    <w:rsid w:val="00511B65"/>
    <w:rsid w:val="00516520"/>
    <w:rsid w:val="00524EEB"/>
    <w:rsid w:val="0052629D"/>
    <w:rsid w:val="00531C3D"/>
    <w:rsid w:val="00536DBF"/>
    <w:rsid w:val="005440ED"/>
    <w:rsid w:val="00553133"/>
    <w:rsid w:val="005609FF"/>
    <w:rsid w:val="00564174"/>
    <w:rsid w:val="00567C34"/>
    <w:rsid w:val="005728A5"/>
    <w:rsid w:val="005846E7"/>
    <w:rsid w:val="005858E3"/>
    <w:rsid w:val="00586FDD"/>
    <w:rsid w:val="00590F25"/>
    <w:rsid w:val="00592DB7"/>
    <w:rsid w:val="005A0517"/>
    <w:rsid w:val="005A4B5E"/>
    <w:rsid w:val="005B164C"/>
    <w:rsid w:val="005B6EBD"/>
    <w:rsid w:val="005C28BE"/>
    <w:rsid w:val="005D01BA"/>
    <w:rsid w:val="005D1C88"/>
    <w:rsid w:val="005D623A"/>
    <w:rsid w:val="005D62B7"/>
    <w:rsid w:val="005E0055"/>
    <w:rsid w:val="005E1C91"/>
    <w:rsid w:val="005E4A93"/>
    <w:rsid w:val="005E50F5"/>
    <w:rsid w:val="005F1AB5"/>
    <w:rsid w:val="00603454"/>
    <w:rsid w:val="00604767"/>
    <w:rsid w:val="0061075B"/>
    <w:rsid w:val="006234D4"/>
    <w:rsid w:val="00624479"/>
    <w:rsid w:val="006250DD"/>
    <w:rsid w:val="006261E6"/>
    <w:rsid w:val="00627990"/>
    <w:rsid w:val="006326C5"/>
    <w:rsid w:val="00637427"/>
    <w:rsid w:val="00651C31"/>
    <w:rsid w:val="00657185"/>
    <w:rsid w:val="00666451"/>
    <w:rsid w:val="00670174"/>
    <w:rsid w:val="00670FC7"/>
    <w:rsid w:val="006745AD"/>
    <w:rsid w:val="0067546B"/>
    <w:rsid w:val="00677F43"/>
    <w:rsid w:val="00680490"/>
    <w:rsid w:val="00684093"/>
    <w:rsid w:val="00686992"/>
    <w:rsid w:val="00687349"/>
    <w:rsid w:val="0069000F"/>
    <w:rsid w:val="00690CCD"/>
    <w:rsid w:val="006A12E9"/>
    <w:rsid w:val="006A6081"/>
    <w:rsid w:val="006A7E80"/>
    <w:rsid w:val="006B2EB0"/>
    <w:rsid w:val="006B4287"/>
    <w:rsid w:val="006C6C52"/>
    <w:rsid w:val="006D0E50"/>
    <w:rsid w:val="006E3E16"/>
    <w:rsid w:val="006E3E17"/>
    <w:rsid w:val="006F063D"/>
    <w:rsid w:val="006F3F18"/>
    <w:rsid w:val="00701057"/>
    <w:rsid w:val="0070498B"/>
    <w:rsid w:val="00707301"/>
    <w:rsid w:val="00715134"/>
    <w:rsid w:val="00735204"/>
    <w:rsid w:val="007369D0"/>
    <w:rsid w:val="007421B2"/>
    <w:rsid w:val="00747DBC"/>
    <w:rsid w:val="007570DC"/>
    <w:rsid w:val="00761758"/>
    <w:rsid w:val="00777092"/>
    <w:rsid w:val="007824A5"/>
    <w:rsid w:val="007974B1"/>
    <w:rsid w:val="00797E5E"/>
    <w:rsid w:val="007A464F"/>
    <w:rsid w:val="007A4A72"/>
    <w:rsid w:val="007B012D"/>
    <w:rsid w:val="007B0A0E"/>
    <w:rsid w:val="007B1989"/>
    <w:rsid w:val="007B1D8C"/>
    <w:rsid w:val="007B515C"/>
    <w:rsid w:val="007B5F7A"/>
    <w:rsid w:val="007B674B"/>
    <w:rsid w:val="007C5C5A"/>
    <w:rsid w:val="007D25AC"/>
    <w:rsid w:val="007D5126"/>
    <w:rsid w:val="007E1311"/>
    <w:rsid w:val="007E15D4"/>
    <w:rsid w:val="007E7852"/>
    <w:rsid w:val="00801BDD"/>
    <w:rsid w:val="0080339D"/>
    <w:rsid w:val="0080369F"/>
    <w:rsid w:val="008055F9"/>
    <w:rsid w:val="00813FBF"/>
    <w:rsid w:val="00817945"/>
    <w:rsid w:val="00820C22"/>
    <w:rsid w:val="00824227"/>
    <w:rsid w:val="008261DF"/>
    <w:rsid w:val="00842ED4"/>
    <w:rsid w:val="008506A3"/>
    <w:rsid w:val="0085239B"/>
    <w:rsid w:val="00852D7E"/>
    <w:rsid w:val="008530F8"/>
    <w:rsid w:val="00853878"/>
    <w:rsid w:val="00866261"/>
    <w:rsid w:val="00866984"/>
    <w:rsid w:val="008672DC"/>
    <w:rsid w:val="008710F7"/>
    <w:rsid w:val="00873D5C"/>
    <w:rsid w:val="008809C4"/>
    <w:rsid w:val="00881719"/>
    <w:rsid w:val="00885291"/>
    <w:rsid w:val="0088558F"/>
    <w:rsid w:val="008861A5"/>
    <w:rsid w:val="0089018B"/>
    <w:rsid w:val="00897B5F"/>
    <w:rsid w:val="008A0E82"/>
    <w:rsid w:val="008A1F05"/>
    <w:rsid w:val="008A7925"/>
    <w:rsid w:val="008B031B"/>
    <w:rsid w:val="008B372C"/>
    <w:rsid w:val="008B692E"/>
    <w:rsid w:val="008C0858"/>
    <w:rsid w:val="008D0DF9"/>
    <w:rsid w:val="008E46CA"/>
    <w:rsid w:val="008E5CC6"/>
    <w:rsid w:val="008F3337"/>
    <w:rsid w:val="00907CE1"/>
    <w:rsid w:val="009156DD"/>
    <w:rsid w:val="00915A70"/>
    <w:rsid w:val="00923A98"/>
    <w:rsid w:val="00925699"/>
    <w:rsid w:val="00934FFA"/>
    <w:rsid w:val="009535D6"/>
    <w:rsid w:val="00954E1A"/>
    <w:rsid w:val="009640B0"/>
    <w:rsid w:val="00966982"/>
    <w:rsid w:val="00970146"/>
    <w:rsid w:val="00973DBC"/>
    <w:rsid w:val="00980863"/>
    <w:rsid w:val="00981086"/>
    <w:rsid w:val="009849CB"/>
    <w:rsid w:val="00991B45"/>
    <w:rsid w:val="00992A0B"/>
    <w:rsid w:val="00997F15"/>
    <w:rsid w:val="009A0C1A"/>
    <w:rsid w:val="009B0367"/>
    <w:rsid w:val="009B7D34"/>
    <w:rsid w:val="009C10D8"/>
    <w:rsid w:val="009C4F69"/>
    <w:rsid w:val="009D4CDE"/>
    <w:rsid w:val="009D52A8"/>
    <w:rsid w:val="009F01BB"/>
    <w:rsid w:val="009F2547"/>
    <w:rsid w:val="009F3416"/>
    <w:rsid w:val="009F3E71"/>
    <w:rsid w:val="009F7586"/>
    <w:rsid w:val="00A02C2C"/>
    <w:rsid w:val="00A06016"/>
    <w:rsid w:val="00A1316C"/>
    <w:rsid w:val="00A14493"/>
    <w:rsid w:val="00A171BD"/>
    <w:rsid w:val="00A250C3"/>
    <w:rsid w:val="00A261C4"/>
    <w:rsid w:val="00A3430A"/>
    <w:rsid w:val="00A414CD"/>
    <w:rsid w:val="00A5219E"/>
    <w:rsid w:val="00A536DA"/>
    <w:rsid w:val="00A5594A"/>
    <w:rsid w:val="00A56041"/>
    <w:rsid w:val="00A82FB3"/>
    <w:rsid w:val="00A85EA8"/>
    <w:rsid w:val="00A86BD6"/>
    <w:rsid w:val="00A93BDB"/>
    <w:rsid w:val="00AA7261"/>
    <w:rsid w:val="00AB679C"/>
    <w:rsid w:val="00AC23A9"/>
    <w:rsid w:val="00AC79F2"/>
    <w:rsid w:val="00AD1EB5"/>
    <w:rsid w:val="00AD3779"/>
    <w:rsid w:val="00AD3FF4"/>
    <w:rsid w:val="00AE1A2B"/>
    <w:rsid w:val="00AE4999"/>
    <w:rsid w:val="00AE588C"/>
    <w:rsid w:val="00AF116C"/>
    <w:rsid w:val="00AF2176"/>
    <w:rsid w:val="00AF38B3"/>
    <w:rsid w:val="00AF7AA5"/>
    <w:rsid w:val="00B015BE"/>
    <w:rsid w:val="00B05631"/>
    <w:rsid w:val="00B30B4C"/>
    <w:rsid w:val="00B3242B"/>
    <w:rsid w:val="00B45C49"/>
    <w:rsid w:val="00B479B8"/>
    <w:rsid w:val="00B5027C"/>
    <w:rsid w:val="00B523DC"/>
    <w:rsid w:val="00B5424B"/>
    <w:rsid w:val="00B647F8"/>
    <w:rsid w:val="00B64839"/>
    <w:rsid w:val="00B70C49"/>
    <w:rsid w:val="00B76ED4"/>
    <w:rsid w:val="00B85205"/>
    <w:rsid w:val="00B92080"/>
    <w:rsid w:val="00B9313E"/>
    <w:rsid w:val="00B95431"/>
    <w:rsid w:val="00B97554"/>
    <w:rsid w:val="00BA1566"/>
    <w:rsid w:val="00BA1BFB"/>
    <w:rsid w:val="00BB3D7A"/>
    <w:rsid w:val="00BC7A4B"/>
    <w:rsid w:val="00BD13D2"/>
    <w:rsid w:val="00BD73B9"/>
    <w:rsid w:val="00BE0103"/>
    <w:rsid w:val="00BE129A"/>
    <w:rsid w:val="00BE426F"/>
    <w:rsid w:val="00BF2FBC"/>
    <w:rsid w:val="00BF78E6"/>
    <w:rsid w:val="00C03A7B"/>
    <w:rsid w:val="00C0560F"/>
    <w:rsid w:val="00C07CAE"/>
    <w:rsid w:val="00C11178"/>
    <w:rsid w:val="00C1525D"/>
    <w:rsid w:val="00C25770"/>
    <w:rsid w:val="00C26201"/>
    <w:rsid w:val="00C26C94"/>
    <w:rsid w:val="00C32F2A"/>
    <w:rsid w:val="00C4065D"/>
    <w:rsid w:val="00C42B7B"/>
    <w:rsid w:val="00C4618A"/>
    <w:rsid w:val="00C46E15"/>
    <w:rsid w:val="00C55E40"/>
    <w:rsid w:val="00C62603"/>
    <w:rsid w:val="00C84DB1"/>
    <w:rsid w:val="00C966B4"/>
    <w:rsid w:val="00C97CAC"/>
    <w:rsid w:val="00CA09E8"/>
    <w:rsid w:val="00CA1509"/>
    <w:rsid w:val="00CA153B"/>
    <w:rsid w:val="00CA5243"/>
    <w:rsid w:val="00CB006E"/>
    <w:rsid w:val="00CB010A"/>
    <w:rsid w:val="00CC3736"/>
    <w:rsid w:val="00CD1C9C"/>
    <w:rsid w:val="00CE26FF"/>
    <w:rsid w:val="00CE3BF5"/>
    <w:rsid w:val="00CE6268"/>
    <w:rsid w:val="00CF3BE8"/>
    <w:rsid w:val="00CF7B6F"/>
    <w:rsid w:val="00D12E2C"/>
    <w:rsid w:val="00D21BD1"/>
    <w:rsid w:val="00D2419A"/>
    <w:rsid w:val="00D30B4A"/>
    <w:rsid w:val="00D31ACC"/>
    <w:rsid w:val="00D337E5"/>
    <w:rsid w:val="00D352F0"/>
    <w:rsid w:val="00D4049D"/>
    <w:rsid w:val="00D434FC"/>
    <w:rsid w:val="00D44EA6"/>
    <w:rsid w:val="00D46101"/>
    <w:rsid w:val="00D47EA5"/>
    <w:rsid w:val="00D54A05"/>
    <w:rsid w:val="00D7490B"/>
    <w:rsid w:val="00D7704C"/>
    <w:rsid w:val="00D777EC"/>
    <w:rsid w:val="00D819DD"/>
    <w:rsid w:val="00D84BD8"/>
    <w:rsid w:val="00D923C0"/>
    <w:rsid w:val="00D93B7A"/>
    <w:rsid w:val="00D93E54"/>
    <w:rsid w:val="00D93FB9"/>
    <w:rsid w:val="00DA030C"/>
    <w:rsid w:val="00DA2694"/>
    <w:rsid w:val="00DB18CB"/>
    <w:rsid w:val="00DB6967"/>
    <w:rsid w:val="00DB6CA2"/>
    <w:rsid w:val="00DC1F31"/>
    <w:rsid w:val="00DC3E89"/>
    <w:rsid w:val="00DC4CB4"/>
    <w:rsid w:val="00DD1CA0"/>
    <w:rsid w:val="00DD64AB"/>
    <w:rsid w:val="00DE167E"/>
    <w:rsid w:val="00DE1E33"/>
    <w:rsid w:val="00DE3EF8"/>
    <w:rsid w:val="00DE3FC5"/>
    <w:rsid w:val="00DE767D"/>
    <w:rsid w:val="00DF3474"/>
    <w:rsid w:val="00DF3859"/>
    <w:rsid w:val="00DF576A"/>
    <w:rsid w:val="00DF76E7"/>
    <w:rsid w:val="00E05C36"/>
    <w:rsid w:val="00E10605"/>
    <w:rsid w:val="00E114C8"/>
    <w:rsid w:val="00E1280E"/>
    <w:rsid w:val="00E22D26"/>
    <w:rsid w:val="00E3342A"/>
    <w:rsid w:val="00E401D0"/>
    <w:rsid w:val="00E441B1"/>
    <w:rsid w:val="00E45C61"/>
    <w:rsid w:val="00E520B7"/>
    <w:rsid w:val="00E527D9"/>
    <w:rsid w:val="00E71CFE"/>
    <w:rsid w:val="00E74E78"/>
    <w:rsid w:val="00E949DE"/>
    <w:rsid w:val="00E96306"/>
    <w:rsid w:val="00EA05DF"/>
    <w:rsid w:val="00EA3759"/>
    <w:rsid w:val="00EA7FBE"/>
    <w:rsid w:val="00EB240A"/>
    <w:rsid w:val="00EB31AD"/>
    <w:rsid w:val="00EB6B4D"/>
    <w:rsid w:val="00EB7B4E"/>
    <w:rsid w:val="00EC3046"/>
    <w:rsid w:val="00EC3AA4"/>
    <w:rsid w:val="00F01470"/>
    <w:rsid w:val="00F02C46"/>
    <w:rsid w:val="00F05810"/>
    <w:rsid w:val="00F0625A"/>
    <w:rsid w:val="00F1684B"/>
    <w:rsid w:val="00F21480"/>
    <w:rsid w:val="00F23817"/>
    <w:rsid w:val="00F25779"/>
    <w:rsid w:val="00F405A9"/>
    <w:rsid w:val="00F51239"/>
    <w:rsid w:val="00F563B5"/>
    <w:rsid w:val="00F60530"/>
    <w:rsid w:val="00F70D4B"/>
    <w:rsid w:val="00F71B00"/>
    <w:rsid w:val="00F72AAD"/>
    <w:rsid w:val="00F747AE"/>
    <w:rsid w:val="00F762C2"/>
    <w:rsid w:val="00F763CB"/>
    <w:rsid w:val="00F77687"/>
    <w:rsid w:val="00F80843"/>
    <w:rsid w:val="00F81518"/>
    <w:rsid w:val="00F91EB8"/>
    <w:rsid w:val="00F95551"/>
    <w:rsid w:val="00F96C9D"/>
    <w:rsid w:val="00FA1F8D"/>
    <w:rsid w:val="00FA5668"/>
    <w:rsid w:val="00FB192C"/>
    <w:rsid w:val="00FB3628"/>
    <w:rsid w:val="00FB6243"/>
    <w:rsid w:val="00FC4D08"/>
    <w:rsid w:val="00FD16E5"/>
    <w:rsid w:val="00FD2694"/>
    <w:rsid w:val="00FD52A2"/>
    <w:rsid w:val="00FD56B7"/>
    <w:rsid w:val="00FE261E"/>
    <w:rsid w:val="00FF3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val="de-DE" w:eastAsia="de-DE"/>
    </w:rPr>
  </w:style>
  <w:style w:type="paragraph" w:styleId="berschrift1">
    <w:name w:val="heading 1"/>
    <w:basedOn w:val="Standard"/>
    <w:next w:val="Standard"/>
    <w:qFormat/>
    <w:pPr>
      <w:keepNext/>
      <w:outlineLvl w:val="0"/>
    </w:pPr>
    <w:rPr>
      <w:b/>
      <w:bCs/>
      <w:szCs w:val="24"/>
    </w:rPr>
  </w:style>
  <w:style w:type="paragraph" w:styleId="berschrift2">
    <w:name w:val="heading 2"/>
    <w:basedOn w:val="Standard"/>
    <w:next w:val="Standard"/>
    <w:qFormat/>
    <w:pPr>
      <w:keepNext/>
      <w:shd w:val="clear" w:color="auto" w:fill="0000FF"/>
      <w:outlineLvl w:val="1"/>
    </w:pPr>
    <w:rPr>
      <w:b/>
      <w:bCs/>
      <w:color w:val="FFFFFF"/>
    </w:rPr>
  </w:style>
  <w:style w:type="paragraph" w:styleId="berschrift3">
    <w:name w:val="heading 3"/>
    <w:basedOn w:val="Standard"/>
    <w:next w:val="Standard"/>
    <w:qFormat/>
    <w:pPr>
      <w:keepNext/>
      <w:outlineLvl w:val="2"/>
    </w:pPr>
    <w:rPr>
      <w:b/>
      <w:sz w:val="24"/>
      <w:lang w:val="de-CH"/>
    </w:rPr>
  </w:style>
  <w:style w:type="paragraph" w:styleId="berschrift4">
    <w:name w:val="heading 4"/>
    <w:basedOn w:val="Standard"/>
    <w:next w:val="Standard"/>
    <w:qFormat/>
    <w:pPr>
      <w:keepNext/>
      <w:tabs>
        <w:tab w:val="left" w:pos="2835"/>
      </w:tabs>
      <w:outlineLvl w:val="3"/>
    </w:pPr>
    <w:rPr>
      <w:b/>
      <w:bCs/>
      <w:u w:val="single"/>
    </w:rPr>
  </w:style>
  <w:style w:type="paragraph" w:styleId="berschrift5">
    <w:name w:val="heading 5"/>
    <w:basedOn w:val="Standard"/>
    <w:next w:val="Standard"/>
    <w:qFormat/>
    <w:pPr>
      <w:keepNext/>
      <w:tabs>
        <w:tab w:val="left" w:pos="2127"/>
      </w:tabs>
      <w:jc w:val="center"/>
      <w:outlineLvl w:val="4"/>
    </w:pPr>
    <w:rPr>
      <w:b/>
      <w:i/>
      <w:iCs/>
      <w:sz w:val="16"/>
      <w:szCs w:val="16"/>
      <w:lang w:val="de-CH"/>
    </w:rPr>
  </w:style>
  <w:style w:type="paragraph" w:styleId="berschrift6">
    <w:name w:val="heading 6"/>
    <w:basedOn w:val="Standard"/>
    <w:next w:val="Standard"/>
    <w:qFormat/>
    <w:pPr>
      <w:keepNext/>
      <w:tabs>
        <w:tab w:val="left" w:pos="2127"/>
      </w:tabs>
      <w:outlineLvl w:val="5"/>
    </w:pPr>
    <w:rPr>
      <w:b/>
      <w:i/>
      <w:iCs/>
      <w:sz w:val="16"/>
      <w:szCs w:val="16"/>
      <w:lang w:val="de-CH"/>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ntique Olive" w:hAnsi="Antique Olive"/>
      <w:sz w:val="24"/>
      <w:lang w:val="de-CH"/>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18"/>
        <w:tab w:val="left" w:pos="3544"/>
      </w:tabs>
      <w:spacing w:line="240" w:lineRule="exact"/>
      <w:ind w:left="3544" w:hanging="3544"/>
    </w:pPr>
    <w:rPr>
      <w:lang w:val="de-CH"/>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Pr>
      <w:b/>
      <w:bCs/>
    </w:rPr>
  </w:style>
  <w:style w:type="character" w:styleId="Hervorhebung">
    <w:name w:val="Emphasis"/>
    <w:qFormat/>
    <w:rPr>
      <w:i/>
      <w:iCs/>
    </w:rPr>
  </w:style>
  <w:style w:type="paragraph" w:styleId="Textkrper2">
    <w:name w:val="Body Text 2"/>
    <w:basedOn w:val="Standard"/>
    <w:pPr>
      <w:tabs>
        <w:tab w:val="left" w:pos="1560"/>
      </w:tabs>
    </w:pPr>
    <w:rPr>
      <w:b/>
      <w:bCs/>
    </w:rPr>
  </w:style>
  <w:style w:type="paragraph" w:styleId="Textkrper3">
    <w:name w:val="Body Text 3"/>
    <w:basedOn w:val="Standard"/>
    <w:pPr>
      <w:tabs>
        <w:tab w:val="num" w:pos="355"/>
        <w:tab w:val="left" w:pos="2127"/>
      </w:tabs>
    </w:pPr>
    <w:rPr>
      <w:bCs/>
      <w:i/>
      <w:iCs/>
      <w:sz w:val="14"/>
    </w:rPr>
  </w:style>
  <w:style w:type="paragraph" w:styleId="Sprechblasentext">
    <w:name w:val="Balloon Text"/>
    <w:basedOn w:val="Standard"/>
    <w:semiHidden/>
    <w:rsid w:val="00D12E2C"/>
    <w:rPr>
      <w:rFonts w:ascii="Tahoma" w:hAnsi="Tahoma" w:cs="Tahoma"/>
      <w:sz w:val="16"/>
      <w:szCs w:val="16"/>
    </w:rPr>
  </w:style>
  <w:style w:type="table" w:styleId="Tabellenraster">
    <w:name w:val="Table Grid"/>
    <w:basedOn w:val="NormaleTabelle"/>
    <w:rsid w:val="00D7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481E78"/>
    <w:pPr>
      <w:spacing w:after="120"/>
      <w:ind w:left="283"/>
    </w:pPr>
    <w:rPr>
      <w:sz w:val="16"/>
      <w:szCs w:val="16"/>
    </w:rPr>
  </w:style>
  <w:style w:type="paragraph" w:customStyle="1" w:styleId="xl33">
    <w:name w:val="xl33"/>
    <w:basedOn w:val="Standard"/>
    <w:rsid w:val="00B95431"/>
    <w:pPr>
      <w:spacing w:before="100" w:beforeAutospacing="1" w:after="100" w:afterAutospacing="1"/>
    </w:pPr>
    <w:rPr>
      <w:rFonts w:eastAsia="Arial Unicode MS"/>
      <w:b/>
      <w:bCs/>
      <w:sz w:val="16"/>
      <w:szCs w:val="16"/>
    </w:rPr>
  </w:style>
  <w:style w:type="paragraph" w:styleId="Listenabsatz">
    <w:name w:val="List Paragraph"/>
    <w:basedOn w:val="Standard"/>
    <w:uiPriority w:val="34"/>
    <w:qFormat/>
    <w:rsid w:val="005D1C88"/>
    <w:pPr>
      <w:ind w:left="720"/>
      <w:contextualSpacing/>
    </w:pPr>
  </w:style>
  <w:style w:type="character" w:customStyle="1" w:styleId="KopfzeileZchn">
    <w:name w:val="Kopfzeile Zchn"/>
    <w:basedOn w:val="Absatz-Standardschriftart"/>
    <w:link w:val="Kopfzeile"/>
    <w:rsid w:val="002A669E"/>
    <w:rPr>
      <w:rFonts w:ascii="Arial" w:hAnsi="Arial" w:cs="Arial"/>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val="de-DE" w:eastAsia="de-DE"/>
    </w:rPr>
  </w:style>
  <w:style w:type="paragraph" w:styleId="berschrift1">
    <w:name w:val="heading 1"/>
    <w:basedOn w:val="Standard"/>
    <w:next w:val="Standard"/>
    <w:qFormat/>
    <w:pPr>
      <w:keepNext/>
      <w:outlineLvl w:val="0"/>
    </w:pPr>
    <w:rPr>
      <w:b/>
      <w:bCs/>
      <w:szCs w:val="24"/>
    </w:rPr>
  </w:style>
  <w:style w:type="paragraph" w:styleId="berschrift2">
    <w:name w:val="heading 2"/>
    <w:basedOn w:val="Standard"/>
    <w:next w:val="Standard"/>
    <w:qFormat/>
    <w:pPr>
      <w:keepNext/>
      <w:shd w:val="clear" w:color="auto" w:fill="0000FF"/>
      <w:outlineLvl w:val="1"/>
    </w:pPr>
    <w:rPr>
      <w:b/>
      <w:bCs/>
      <w:color w:val="FFFFFF"/>
    </w:rPr>
  </w:style>
  <w:style w:type="paragraph" w:styleId="berschrift3">
    <w:name w:val="heading 3"/>
    <w:basedOn w:val="Standard"/>
    <w:next w:val="Standard"/>
    <w:qFormat/>
    <w:pPr>
      <w:keepNext/>
      <w:outlineLvl w:val="2"/>
    </w:pPr>
    <w:rPr>
      <w:b/>
      <w:sz w:val="24"/>
      <w:lang w:val="de-CH"/>
    </w:rPr>
  </w:style>
  <w:style w:type="paragraph" w:styleId="berschrift4">
    <w:name w:val="heading 4"/>
    <w:basedOn w:val="Standard"/>
    <w:next w:val="Standard"/>
    <w:qFormat/>
    <w:pPr>
      <w:keepNext/>
      <w:tabs>
        <w:tab w:val="left" w:pos="2835"/>
      </w:tabs>
      <w:outlineLvl w:val="3"/>
    </w:pPr>
    <w:rPr>
      <w:b/>
      <w:bCs/>
      <w:u w:val="single"/>
    </w:rPr>
  </w:style>
  <w:style w:type="paragraph" w:styleId="berschrift5">
    <w:name w:val="heading 5"/>
    <w:basedOn w:val="Standard"/>
    <w:next w:val="Standard"/>
    <w:qFormat/>
    <w:pPr>
      <w:keepNext/>
      <w:tabs>
        <w:tab w:val="left" w:pos="2127"/>
      </w:tabs>
      <w:jc w:val="center"/>
      <w:outlineLvl w:val="4"/>
    </w:pPr>
    <w:rPr>
      <w:b/>
      <w:i/>
      <w:iCs/>
      <w:sz w:val="16"/>
      <w:szCs w:val="16"/>
      <w:lang w:val="de-CH"/>
    </w:rPr>
  </w:style>
  <w:style w:type="paragraph" w:styleId="berschrift6">
    <w:name w:val="heading 6"/>
    <w:basedOn w:val="Standard"/>
    <w:next w:val="Standard"/>
    <w:qFormat/>
    <w:pPr>
      <w:keepNext/>
      <w:tabs>
        <w:tab w:val="left" w:pos="2127"/>
      </w:tabs>
      <w:outlineLvl w:val="5"/>
    </w:pPr>
    <w:rPr>
      <w:b/>
      <w:i/>
      <w:iCs/>
      <w:sz w:val="16"/>
      <w:szCs w:val="16"/>
      <w:lang w:val="de-CH"/>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ntique Olive" w:hAnsi="Antique Olive"/>
      <w:sz w:val="24"/>
      <w:lang w:val="de-CH"/>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18"/>
        <w:tab w:val="left" w:pos="3544"/>
      </w:tabs>
      <w:spacing w:line="240" w:lineRule="exact"/>
      <w:ind w:left="3544" w:hanging="3544"/>
    </w:pPr>
    <w:rPr>
      <w:lang w:val="de-CH"/>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Pr>
      <w:b/>
      <w:bCs/>
    </w:rPr>
  </w:style>
  <w:style w:type="character" w:styleId="Hervorhebung">
    <w:name w:val="Emphasis"/>
    <w:qFormat/>
    <w:rPr>
      <w:i/>
      <w:iCs/>
    </w:rPr>
  </w:style>
  <w:style w:type="paragraph" w:styleId="Textkrper2">
    <w:name w:val="Body Text 2"/>
    <w:basedOn w:val="Standard"/>
    <w:pPr>
      <w:tabs>
        <w:tab w:val="left" w:pos="1560"/>
      </w:tabs>
    </w:pPr>
    <w:rPr>
      <w:b/>
      <w:bCs/>
    </w:rPr>
  </w:style>
  <w:style w:type="paragraph" w:styleId="Textkrper3">
    <w:name w:val="Body Text 3"/>
    <w:basedOn w:val="Standard"/>
    <w:pPr>
      <w:tabs>
        <w:tab w:val="num" w:pos="355"/>
        <w:tab w:val="left" w:pos="2127"/>
      </w:tabs>
    </w:pPr>
    <w:rPr>
      <w:bCs/>
      <w:i/>
      <w:iCs/>
      <w:sz w:val="14"/>
    </w:rPr>
  </w:style>
  <w:style w:type="paragraph" w:styleId="Sprechblasentext">
    <w:name w:val="Balloon Text"/>
    <w:basedOn w:val="Standard"/>
    <w:semiHidden/>
    <w:rsid w:val="00D12E2C"/>
    <w:rPr>
      <w:rFonts w:ascii="Tahoma" w:hAnsi="Tahoma" w:cs="Tahoma"/>
      <w:sz w:val="16"/>
      <w:szCs w:val="16"/>
    </w:rPr>
  </w:style>
  <w:style w:type="table" w:styleId="Tabellenraster">
    <w:name w:val="Table Grid"/>
    <w:basedOn w:val="NormaleTabelle"/>
    <w:rsid w:val="00D7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481E78"/>
    <w:pPr>
      <w:spacing w:after="120"/>
      <w:ind w:left="283"/>
    </w:pPr>
    <w:rPr>
      <w:sz w:val="16"/>
      <w:szCs w:val="16"/>
    </w:rPr>
  </w:style>
  <w:style w:type="paragraph" w:customStyle="1" w:styleId="xl33">
    <w:name w:val="xl33"/>
    <w:basedOn w:val="Standard"/>
    <w:rsid w:val="00B95431"/>
    <w:pPr>
      <w:spacing w:before="100" w:beforeAutospacing="1" w:after="100" w:afterAutospacing="1"/>
    </w:pPr>
    <w:rPr>
      <w:rFonts w:eastAsia="Arial Unicode MS"/>
      <w:b/>
      <w:bCs/>
      <w:sz w:val="16"/>
      <w:szCs w:val="16"/>
    </w:rPr>
  </w:style>
  <w:style w:type="paragraph" w:styleId="Listenabsatz">
    <w:name w:val="List Paragraph"/>
    <w:basedOn w:val="Standard"/>
    <w:uiPriority w:val="34"/>
    <w:qFormat/>
    <w:rsid w:val="005D1C88"/>
    <w:pPr>
      <w:ind w:left="720"/>
      <w:contextualSpacing/>
    </w:pPr>
  </w:style>
  <w:style w:type="character" w:customStyle="1" w:styleId="KopfzeileZchn">
    <w:name w:val="Kopfzeile Zchn"/>
    <w:basedOn w:val="Absatz-Standardschriftart"/>
    <w:link w:val="Kopfzeile"/>
    <w:rsid w:val="002A669E"/>
    <w:rPr>
      <w:rFonts w:ascii="Arial" w:hAnsi="Arial"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chweiz.ch/kommunikationsoffensive-berufsmaturitaet" TargetMode="External"/><Relationship Id="rId13" Type="http://schemas.openxmlformats.org/officeDocument/2006/relationships/hyperlink" Target="https://www.fhschweiz.ch/htlhwv-in-der-lohnstrukturerhebung-ls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hschweiz.ch/fh-profil/" TargetMode="External"/><Relationship Id="rId17" Type="http://schemas.openxmlformats.org/officeDocument/2006/relationships/hyperlink" Target="https://www.fhschweiz.ch/bildung-politi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hschweiz.ch/fh-profi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hschweiz.ch/htlhwv-in-der-lohnstrukturerhebung-l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hschweiz.ch/customer/files/1287/18-09-05-Broschu&#776;re-FH-Profil-A4_4s_Website_DE.pdf" TargetMode="External"/><Relationship Id="rId23" Type="http://schemas.openxmlformats.org/officeDocument/2006/relationships/footer" Target="footer3.xml"/><Relationship Id="rId10" Type="http://schemas.openxmlformats.org/officeDocument/2006/relationships/hyperlink" Target="https://www.fhschweiz.ch/hfk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erufsmaturitaet.ch/de" TargetMode="External"/><Relationship Id="rId14" Type="http://schemas.openxmlformats.org/officeDocument/2006/relationships/hyperlink" Target="https://www.fhschweiz.ch/fh-profi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7F89DD57-507E-4329-8730-2C9D487E86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ZDL%20Fa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ZDL Fax.dot</Template>
  <TotalTime>0</TotalTime>
  <Pages>1</Pages>
  <Words>346</Words>
  <Characters>3080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ÖKK</vt:lpstr>
    </vt:vector>
  </TitlesOfParts>
  <Company>6002 Luzern</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ÖKK</dc:title>
  <dc:creator>sys_frm</dc:creator>
  <cp:lastModifiedBy>Larissa Speziale</cp:lastModifiedBy>
  <cp:revision>7</cp:revision>
  <cp:lastPrinted>2012-05-14T18:50:00Z</cp:lastPrinted>
  <dcterms:created xsi:type="dcterms:W3CDTF">2013-05-19T07:54:00Z</dcterms:created>
  <dcterms:modified xsi:type="dcterms:W3CDTF">2018-12-13T10:25:00Z</dcterms:modified>
</cp:coreProperties>
</file>